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678C2" w14:textId="473FC154" w:rsidR="006F089B" w:rsidRPr="006F089B" w:rsidRDefault="007F2477" w:rsidP="005D109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F089B">
        <w:rPr>
          <w:rFonts w:ascii="Times New Roman" w:hAnsi="Times New Roman" w:cs="Times New Roman"/>
          <w:sz w:val="24"/>
          <w:szCs w:val="24"/>
        </w:rPr>
        <w:t>Students Name</w:t>
      </w:r>
    </w:p>
    <w:p w14:paraId="2E63819F" w14:textId="77777777" w:rsidR="006F089B" w:rsidRPr="006F089B" w:rsidRDefault="007F2477" w:rsidP="005D1095">
      <w:pPr>
        <w:spacing w:line="480" w:lineRule="auto"/>
        <w:rPr>
          <w:rFonts w:ascii="Times New Roman" w:hAnsi="Times New Roman" w:cs="Times New Roman"/>
          <w:sz w:val="24"/>
          <w:szCs w:val="24"/>
        </w:rPr>
      </w:pPr>
      <w:r w:rsidRPr="006F089B">
        <w:rPr>
          <w:rFonts w:ascii="Times New Roman" w:hAnsi="Times New Roman" w:cs="Times New Roman"/>
          <w:sz w:val="24"/>
          <w:szCs w:val="24"/>
        </w:rPr>
        <w:t>Professor’s Name</w:t>
      </w:r>
    </w:p>
    <w:p w14:paraId="3A706DC1" w14:textId="77777777" w:rsidR="006F089B" w:rsidRPr="006F089B" w:rsidRDefault="007F2477" w:rsidP="005D1095">
      <w:pPr>
        <w:spacing w:line="480" w:lineRule="auto"/>
        <w:rPr>
          <w:rFonts w:ascii="Times New Roman" w:hAnsi="Times New Roman" w:cs="Times New Roman"/>
          <w:sz w:val="24"/>
          <w:szCs w:val="24"/>
        </w:rPr>
      </w:pPr>
      <w:r w:rsidRPr="006F089B">
        <w:rPr>
          <w:rFonts w:ascii="Times New Roman" w:hAnsi="Times New Roman" w:cs="Times New Roman"/>
          <w:sz w:val="24"/>
          <w:szCs w:val="24"/>
        </w:rPr>
        <w:t>Course</w:t>
      </w:r>
    </w:p>
    <w:p w14:paraId="062F5969" w14:textId="77777777" w:rsidR="006F089B" w:rsidRPr="006F089B" w:rsidRDefault="007F2477" w:rsidP="005D1095">
      <w:pPr>
        <w:spacing w:line="480" w:lineRule="auto"/>
        <w:rPr>
          <w:rFonts w:ascii="Times New Roman" w:hAnsi="Times New Roman" w:cs="Times New Roman"/>
          <w:sz w:val="24"/>
          <w:szCs w:val="24"/>
        </w:rPr>
      </w:pPr>
      <w:r w:rsidRPr="006F089B">
        <w:rPr>
          <w:rFonts w:ascii="Times New Roman" w:hAnsi="Times New Roman" w:cs="Times New Roman"/>
          <w:sz w:val="24"/>
          <w:szCs w:val="24"/>
        </w:rPr>
        <w:t>Date of Submission</w:t>
      </w:r>
    </w:p>
    <w:p w14:paraId="6185D1E1" w14:textId="2CB77C8E" w:rsidR="006F089B" w:rsidRDefault="007F2477" w:rsidP="005D1095">
      <w:pPr>
        <w:spacing w:line="480" w:lineRule="auto"/>
        <w:jc w:val="center"/>
        <w:rPr>
          <w:rFonts w:ascii="Times New Roman" w:hAnsi="Times New Roman" w:cs="Times New Roman"/>
          <w:color w:val="222222"/>
          <w:sz w:val="24"/>
          <w:szCs w:val="24"/>
          <w:shd w:val="clear" w:color="auto" w:fill="FFFFFF"/>
        </w:rPr>
      </w:pPr>
      <w:r w:rsidRPr="006F089B">
        <w:rPr>
          <w:rFonts w:ascii="Times New Roman" w:hAnsi="Times New Roman" w:cs="Times New Roman"/>
          <w:color w:val="222222"/>
          <w:sz w:val="24"/>
          <w:szCs w:val="24"/>
          <w:shd w:val="clear" w:color="auto" w:fill="FFFFFF"/>
        </w:rPr>
        <w:t>The symbolism of the Setting of the Play</w:t>
      </w:r>
      <w:r>
        <w:rPr>
          <w:rFonts w:ascii="Times New Roman" w:hAnsi="Times New Roman" w:cs="Times New Roman"/>
          <w:color w:val="222222"/>
          <w:sz w:val="24"/>
          <w:szCs w:val="24"/>
          <w:shd w:val="clear" w:color="auto" w:fill="FFFFFF"/>
        </w:rPr>
        <w:t xml:space="preserve"> </w:t>
      </w:r>
      <w:r w:rsidRPr="003C393D">
        <w:rPr>
          <w:rFonts w:ascii="Times New Roman" w:hAnsi="Times New Roman" w:cs="Times New Roman"/>
          <w:i/>
          <w:color w:val="222222"/>
          <w:sz w:val="24"/>
          <w:szCs w:val="24"/>
          <w:shd w:val="clear" w:color="auto" w:fill="FFFFFF"/>
        </w:rPr>
        <w:t>Trifles</w:t>
      </w:r>
    </w:p>
    <w:p w14:paraId="65D1A28A" w14:textId="77777777" w:rsidR="00501300" w:rsidRPr="00501300" w:rsidRDefault="007F2477" w:rsidP="005D1095">
      <w:pPr>
        <w:spacing w:line="480" w:lineRule="auto"/>
        <w:jc w:val="center"/>
        <w:rPr>
          <w:rFonts w:ascii="Times New Roman" w:hAnsi="Times New Roman" w:cs="Times New Roman"/>
          <w:b/>
          <w:color w:val="222222"/>
          <w:sz w:val="24"/>
          <w:szCs w:val="24"/>
          <w:shd w:val="clear" w:color="auto" w:fill="FFFFFF"/>
        </w:rPr>
      </w:pPr>
      <w:r w:rsidRPr="00501300">
        <w:rPr>
          <w:rFonts w:ascii="Times New Roman" w:hAnsi="Times New Roman" w:cs="Times New Roman"/>
          <w:b/>
          <w:color w:val="222222"/>
          <w:sz w:val="24"/>
          <w:szCs w:val="24"/>
          <w:shd w:val="clear" w:color="auto" w:fill="FFFFFF"/>
        </w:rPr>
        <w:t>Introduction</w:t>
      </w:r>
    </w:p>
    <w:p w14:paraId="3655875D" w14:textId="6D64CA7A" w:rsidR="006F089B" w:rsidRDefault="007F2477" w:rsidP="00E00F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play </w:t>
      </w:r>
      <w:r w:rsidRPr="00F85039">
        <w:rPr>
          <w:rFonts w:ascii="Times New Roman" w:hAnsi="Times New Roman" w:cs="Times New Roman"/>
          <w:i/>
          <w:sz w:val="24"/>
          <w:szCs w:val="24"/>
        </w:rPr>
        <w:t>Trifles</w:t>
      </w:r>
      <w:r>
        <w:rPr>
          <w:rFonts w:ascii="Times New Roman" w:hAnsi="Times New Roman" w:cs="Times New Roman"/>
          <w:sz w:val="24"/>
          <w:szCs w:val="24"/>
        </w:rPr>
        <w:t xml:space="preserve"> </w:t>
      </w:r>
      <w:r w:rsidR="00BC7D4D">
        <w:rPr>
          <w:rFonts w:ascii="Times New Roman" w:hAnsi="Times New Roman" w:cs="Times New Roman"/>
          <w:sz w:val="24"/>
          <w:szCs w:val="24"/>
        </w:rPr>
        <w:t xml:space="preserve">takes place in a chaotic, dirty kitchen belonging to Mrs. Wright </w:t>
      </w:r>
      <w:r w:rsidR="000D7C31">
        <w:rPr>
          <w:rFonts w:ascii="Times New Roman" w:hAnsi="Times New Roman" w:cs="Times New Roman"/>
          <w:sz w:val="24"/>
          <w:szCs w:val="24"/>
        </w:rPr>
        <w:t xml:space="preserve">on a cold day </w:t>
      </w:r>
      <w:r w:rsidR="00BC7D4D">
        <w:rPr>
          <w:rFonts w:ascii="Times New Roman" w:hAnsi="Times New Roman" w:cs="Times New Roman"/>
          <w:sz w:val="24"/>
          <w:szCs w:val="24"/>
        </w:rPr>
        <w:t>i</w:t>
      </w:r>
      <w:r w:rsidR="000D7C31">
        <w:rPr>
          <w:rFonts w:ascii="Times New Roman" w:hAnsi="Times New Roman" w:cs="Times New Roman"/>
          <w:sz w:val="24"/>
          <w:szCs w:val="24"/>
        </w:rPr>
        <w:t>ntroducing</w:t>
      </w:r>
      <w:r w:rsidR="00BC7D4D">
        <w:rPr>
          <w:rFonts w:ascii="Times New Roman" w:hAnsi="Times New Roman" w:cs="Times New Roman"/>
          <w:sz w:val="24"/>
          <w:szCs w:val="24"/>
        </w:rPr>
        <w:t xml:space="preserve"> the attorney, sheriff and </w:t>
      </w:r>
      <w:r w:rsidR="00E00F30">
        <w:rPr>
          <w:rFonts w:ascii="Times New Roman" w:hAnsi="Times New Roman" w:cs="Times New Roman"/>
          <w:sz w:val="24"/>
          <w:szCs w:val="24"/>
        </w:rPr>
        <w:t xml:space="preserve">the </w:t>
      </w:r>
      <w:r w:rsidR="00BC7D4D">
        <w:rPr>
          <w:rFonts w:ascii="Times New Roman" w:hAnsi="Times New Roman" w:cs="Times New Roman"/>
          <w:sz w:val="24"/>
          <w:szCs w:val="24"/>
        </w:rPr>
        <w:t xml:space="preserve">neighbor investigating the death of Mrs. </w:t>
      </w:r>
      <w:r w:rsidR="000D7C31">
        <w:rPr>
          <w:rFonts w:ascii="Times New Roman" w:hAnsi="Times New Roman" w:cs="Times New Roman"/>
          <w:sz w:val="24"/>
          <w:szCs w:val="24"/>
        </w:rPr>
        <w:t>Wright’s</w:t>
      </w:r>
      <w:r w:rsidR="00BC7D4D">
        <w:rPr>
          <w:rFonts w:ascii="Times New Roman" w:hAnsi="Times New Roman" w:cs="Times New Roman"/>
          <w:sz w:val="24"/>
          <w:szCs w:val="24"/>
        </w:rPr>
        <w:t xml:space="preserve"> husband.  During the investigation, a division arises betwe</w:t>
      </w:r>
      <w:r w:rsidR="00E00F30">
        <w:rPr>
          <w:rFonts w:ascii="Times New Roman" w:hAnsi="Times New Roman" w:cs="Times New Roman"/>
          <w:sz w:val="24"/>
          <w:szCs w:val="24"/>
        </w:rPr>
        <w:t>en</w:t>
      </w:r>
      <w:r w:rsidR="00BC7D4D">
        <w:rPr>
          <w:rFonts w:ascii="Times New Roman" w:hAnsi="Times New Roman" w:cs="Times New Roman"/>
          <w:sz w:val="24"/>
          <w:szCs w:val="24"/>
        </w:rPr>
        <w:t xml:space="preserve"> men </w:t>
      </w:r>
      <w:r w:rsidR="00E00F30">
        <w:rPr>
          <w:rFonts w:ascii="Times New Roman" w:hAnsi="Times New Roman" w:cs="Times New Roman"/>
          <w:sz w:val="24"/>
          <w:szCs w:val="24"/>
        </w:rPr>
        <w:t>and women in the scene where</w:t>
      </w:r>
      <w:r w:rsidR="00BC7D4D">
        <w:rPr>
          <w:rFonts w:ascii="Times New Roman" w:hAnsi="Times New Roman" w:cs="Times New Roman"/>
          <w:sz w:val="24"/>
          <w:szCs w:val="24"/>
        </w:rPr>
        <w:t xml:space="preserve"> men characters the likes of Lewis </w:t>
      </w:r>
      <w:r w:rsidR="000D7C31">
        <w:rPr>
          <w:rFonts w:ascii="Times New Roman" w:hAnsi="Times New Roman" w:cs="Times New Roman"/>
          <w:sz w:val="24"/>
          <w:szCs w:val="24"/>
        </w:rPr>
        <w:t>dismisses women</w:t>
      </w:r>
      <w:r w:rsidR="00BC7D4D">
        <w:rPr>
          <w:rFonts w:ascii="Times New Roman" w:hAnsi="Times New Roman" w:cs="Times New Roman"/>
          <w:sz w:val="24"/>
          <w:szCs w:val="24"/>
        </w:rPr>
        <w:t xml:space="preserve"> questions. </w:t>
      </w:r>
      <w:r w:rsidR="000D7C31">
        <w:rPr>
          <w:rFonts w:ascii="Times New Roman" w:hAnsi="Times New Roman" w:cs="Times New Roman"/>
          <w:sz w:val="24"/>
          <w:szCs w:val="24"/>
        </w:rPr>
        <w:t>As</w:t>
      </w:r>
      <w:r w:rsidR="00BC7D4D">
        <w:rPr>
          <w:rFonts w:ascii="Times New Roman" w:hAnsi="Times New Roman" w:cs="Times New Roman"/>
          <w:sz w:val="24"/>
          <w:szCs w:val="24"/>
        </w:rPr>
        <w:t xml:space="preserve"> men go upstairs to continue their investigation, women head to the kitchen describing Mr. John as a quiet and violent. Women </w:t>
      </w:r>
      <w:r w:rsidR="000D7C31">
        <w:rPr>
          <w:rFonts w:ascii="Times New Roman" w:hAnsi="Times New Roman" w:cs="Times New Roman"/>
          <w:sz w:val="24"/>
          <w:szCs w:val="24"/>
        </w:rPr>
        <w:t xml:space="preserve">encounter </w:t>
      </w:r>
      <w:r w:rsidR="00BC7D4D">
        <w:rPr>
          <w:rFonts w:ascii="Times New Roman" w:hAnsi="Times New Roman" w:cs="Times New Roman"/>
          <w:sz w:val="24"/>
          <w:szCs w:val="24"/>
        </w:rPr>
        <w:t xml:space="preserve">an empty cage wondering whether </w:t>
      </w:r>
      <w:r w:rsidR="000D7C31">
        <w:rPr>
          <w:rFonts w:ascii="Times New Roman" w:hAnsi="Times New Roman" w:cs="Times New Roman"/>
          <w:sz w:val="24"/>
          <w:szCs w:val="24"/>
        </w:rPr>
        <w:t>Mrs.</w:t>
      </w:r>
      <w:r w:rsidR="00BC7D4D">
        <w:rPr>
          <w:rFonts w:ascii="Times New Roman" w:hAnsi="Times New Roman" w:cs="Times New Roman"/>
          <w:sz w:val="24"/>
          <w:szCs w:val="24"/>
        </w:rPr>
        <w:t xml:space="preserve"> </w:t>
      </w:r>
      <w:r w:rsidR="000D7C31">
        <w:rPr>
          <w:rFonts w:ascii="Times New Roman" w:hAnsi="Times New Roman" w:cs="Times New Roman"/>
          <w:sz w:val="24"/>
          <w:szCs w:val="24"/>
        </w:rPr>
        <w:t>Wright has a bird but suddenly remembers</w:t>
      </w:r>
      <w:r w:rsidR="00E00F30">
        <w:rPr>
          <w:rFonts w:ascii="Times New Roman" w:hAnsi="Times New Roman" w:cs="Times New Roman"/>
          <w:sz w:val="24"/>
          <w:szCs w:val="24"/>
        </w:rPr>
        <w:t xml:space="preserve"> that she once had</w:t>
      </w:r>
      <w:r w:rsidR="00BC7D4D">
        <w:rPr>
          <w:rFonts w:ascii="Times New Roman" w:hAnsi="Times New Roman" w:cs="Times New Roman"/>
          <w:sz w:val="24"/>
          <w:szCs w:val="24"/>
        </w:rPr>
        <w:t xml:space="preserve"> a singing voice. </w:t>
      </w:r>
      <w:r w:rsidR="000D7C31">
        <w:rPr>
          <w:rFonts w:ascii="Times New Roman" w:hAnsi="Times New Roman" w:cs="Times New Roman"/>
          <w:sz w:val="24"/>
          <w:szCs w:val="24"/>
        </w:rPr>
        <w:t>Later, a</w:t>
      </w:r>
      <w:r w:rsidR="00BC7D4D">
        <w:rPr>
          <w:rFonts w:ascii="Times New Roman" w:hAnsi="Times New Roman" w:cs="Times New Roman"/>
          <w:sz w:val="24"/>
          <w:szCs w:val="24"/>
        </w:rPr>
        <w:t xml:space="preserve">s Minnie is searching all through, she </w:t>
      </w:r>
      <w:r w:rsidR="000D7C31">
        <w:rPr>
          <w:rFonts w:ascii="Times New Roman" w:hAnsi="Times New Roman" w:cs="Times New Roman"/>
          <w:sz w:val="24"/>
          <w:szCs w:val="24"/>
        </w:rPr>
        <w:t>got</w:t>
      </w:r>
      <w:r w:rsidR="00BC7D4D">
        <w:rPr>
          <w:rFonts w:ascii="Times New Roman" w:hAnsi="Times New Roman" w:cs="Times New Roman"/>
          <w:sz w:val="24"/>
          <w:szCs w:val="24"/>
        </w:rPr>
        <w:t xml:space="preserve"> hold of the dead bird in the sewing box making Mrs. Peters reflect on the dead kitten wh</w:t>
      </w:r>
      <w:r w:rsidR="00191562">
        <w:rPr>
          <w:rFonts w:ascii="Times New Roman" w:hAnsi="Times New Roman" w:cs="Times New Roman"/>
          <w:sz w:val="24"/>
          <w:szCs w:val="24"/>
        </w:rPr>
        <w:t>en she was young thus</w:t>
      </w:r>
      <w:r w:rsidR="00BC7D4D">
        <w:rPr>
          <w:rFonts w:ascii="Times New Roman" w:hAnsi="Times New Roman" w:cs="Times New Roman"/>
          <w:sz w:val="24"/>
          <w:szCs w:val="24"/>
        </w:rPr>
        <w:t xml:space="preserve"> remember</w:t>
      </w:r>
      <w:r w:rsidR="00191562">
        <w:rPr>
          <w:rFonts w:ascii="Times New Roman" w:hAnsi="Times New Roman" w:cs="Times New Roman"/>
          <w:sz w:val="24"/>
          <w:szCs w:val="24"/>
        </w:rPr>
        <w:t>ing</w:t>
      </w:r>
      <w:r w:rsidR="00BC7D4D">
        <w:rPr>
          <w:rFonts w:ascii="Times New Roman" w:hAnsi="Times New Roman" w:cs="Times New Roman"/>
          <w:sz w:val="24"/>
          <w:szCs w:val="24"/>
        </w:rPr>
        <w:t xml:space="preserve"> how helpless she was then</w:t>
      </w:r>
      <w:r w:rsidR="004F2668">
        <w:rPr>
          <w:rFonts w:ascii="Times New Roman" w:hAnsi="Times New Roman" w:cs="Times New Roman"/>
          <w:sz w:val="24"/>
          <w:szCs w:val="24"/>
        </w:rPr>
        <w:t xml:space="preserve"> hiding the bird from men. Finally, Mrs. Hale gives a snarky comment while pressing her hand on the dead bird in her pocket</w:t>
      </w:r>
      <w:r w:rsidR="00BC7D4D">
        <w:rPr>
          <w:rFonts w:ascii="Times New Roman" w:hAnsi="Times New Roman" w:cs="Times New Roman"/>
          <w:sz w:val="24"/>
          <w:szCs w:val="24"/>
        </w:rPr>
        <w:t xml:space="preserve">. </w:t>
      </w:r>
      <w:r w:rsidR="00E00F30">
        <w:rPr>
          <w:rFonts w:ascii="Times New Roman" w:hAnsi="Times New Roman" w:cs="Times New Roman"/>
          <w:sz w:val="24"/>
          <w:szCs w:val="24"/>
        </w:rPr>
        <w:t>The argument of the paper entails why the setting of the Trifles play is so important through getting linked to the ideals and attitudes of the characters and values, the environment showing the real traits of the characters such as loneliness which reveals the neig</w:t>
      </w:r>
      <w:bookmarkStart w:id="0" w:name="_GoBack"/>
      <w:bookmarkEnd w:id="0"/>
      <w:r w:rsidR="00E00F30">
        <w:rPr>
          <w:rFonts w:ascii="Times New Roman" w:hAnsi="Times New Roman" w:cs="Times New Roman"/>
          <w:sz w:val="24"/>
          <w:szCs w:val="24"/>
        </w:rPr>
        <w:t>hbo</w:t>
      </w:r>
      <w:r w:rsidR="00005108">
        <w:rPr>
          <w:rFonts w:ascii="Times New Roman" w:hAnsi="Times New Roman" w:cs="Times New Roman"/>
          <w:sz w:val="24"/>
          <w:szCs w:val="24"/>
        </w:rPr>
        <w:t>u</w:t>
      </w:r>
      <w:r w:rsidR="00E00F30">
        <w:rPr>
          <w:rFonts w:ascii="Times New Roman" w:hAnsi="Times New Roman" w:cs="Times New Roman"/>
          <w:sz w:val="24"/>
          <w:szCs w:val="24"/>
        </w:rPr>
        <w:t xml:space="preserve">rs attitudes and cold and freezing environment showing the devoid and barrenness of Mrs. Wright. Furthermore, the setting brings to the play the existing value of attitudes directed to some genders and enhances </w:t>
      </w:r>
      <w:r w:rsidR="00E00F30">
        <w:rPr>
          <w:rFonts w:ascii="Times New Roman" w:hAnsi="Times New Roman" w:cs="Times New Roman"/>
          <w:sz w:val="24"/>
          <w:szCs w:val="24"/>
        </w:rPr>
        <w:lastRenderedPageBreak/>
        <w:t>my reading of the play through giving</w:t>
      </w:r>
      <w:r w:rsidR="00E00F30" w:rsidRPr="006F089B">
        <w:rPr>
          <w:rFonts w:ascii="Times New Roman" w:hAnsi="Times New Roman" w:cs="Times New Roman"/>
          <w:sz w:val="24"/>
          <w:szCs w:val="24"/>
        </w:rPr>
        <w:t xml:space="preserve"> deeper meaning to the play which brings </w:t>
      </w:r>
      <w:r w:rsidR="00E00F30">
        <w:rPr>
          <w:rFonts w:ascii="Times New Roman" w:hAnsi="Times New Roman" w:cs="Times New Roman"/>
          <w:sz w:val="24"/>
          <w:szCs w:val="24"/>
        </w:rPr>
        <w:t xml:space="preserve">solutions to the murder mystery. </w:t>
      </w:r>
    </w:p>
    <w:p w14:paraId="4FBBE18F" w14:textId="2762B56E" w:rsidR="006F089B" w:rsidRPr="006F089B" w:rsidRDefault="007F2477" w:rsidP="005D109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Significance of </w:t>
      </w:r>
      <w:r w:rsidRPr="006F089B">
        <w:rPr>
          <w:rFonts w:ascii="Times New Roman" w:hAnsi="Times New Roman" w:cs="Times New Roman"/>
          <w:b/>
          <w:sz w:val="24"/>
          <w:szCs w:val="24"/>
        </w:rPr>
        <w:t xml:space="preserve">the Setting of the </w:t>
      </w:r>
      <w:r w:rsidRPr="00987A4F">
        <w:rPr>
          <w:rFonts w:ascii="Times New Roman" w:hAnsi="Times New Roman" w:cs="Times New Roman"/>
          <w:b/>
          <w:i/>
          <w:sz w:val="24"/>
          <w:szCs w:val="24"/>
        </w:rPr>
        <w:t>Trifles</w:t>
      </w:r>
      <w:r w:rsidRPr="006F089B">
        <w:rPr>
          <w:rFonts w:ascii="Times New Roman" w:hAnsi="Times New Roman" w:cs="Times New Roman"/>
          <w:b/>
          <w:i/>
          <w:sz w:val="24"/>
          <w:szCs w:val="24"/>
        </w:rPr>
        <w:t xml:space="preserve"> </w:t>
      </w:r>
      <w:r>
        <w:rPr>
          <w:rFonts w:ascii="Times New Roman" w:hAnsi="Times New Roman" w:cs="Times New Roman"/>
          <w:b/>
          <w:sz w:val="24"/>
          <w:szCs w:val="24"/>
        </w:rPr>
        <w:t>Play</w:t>
      </w:r>
    </w:p>
    <w:p w14:paraId="75C90503" w14:textId="77777777" w:rsidR="009551F8" w:rsidRPr="006F089B" w:rsidRDefault="007F2477"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The setting for this play is as significant as it gets linked to the ideals, attitudes of the characters and values. In the Susan Glaspell’s play, the setting is very critical as it helps to understand the clue in solving a murder. After reading the play, it is evident that Glaspell uses simple elements to come up with suspense used to bring solutions to the mysterious death. Although many plays usually have many characters, in this particular play we only have three men and two women who appear in a simple kitchen forming the main stage of the play. The three men are the ones who take notice and talk about the “little things” of Mrs. Wright’s in her kitchen (Glaspell, 776). Although men try to make light of the things that matter most to women, this helps women form a feminine bond.</w:t>
      </w:r>
    </w:p>
    <w:p w14:paraId="1A359B0E" w14:textId="77777777" w:rsidR="00894ADF" w:rsidRPr="006F089B" w:rsidRDefault="007F2477"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 xml:space="preserve">The environment in which the play takes place is the same as that of the background of the play. For instance, just as the same way she set the cold environment to be "lifeless" it is the same way she sets life at her husband’s farm as a lonely hollow and "lifeless." This setting plays a critical role in characterizing Mrs. Wrights in the play. On the other hand, Mr. Wright was nowhere to be seen to help in the farm despite the fact that “there was a great deal of work to be done in the farm” (Glaspell, 775). </w:t>
      </w:r>
    </w:p>
    <w:p w14:paraId="11BDA5A8" w14:textId="1A949509" w:rsidR="00A4733A" w:rsidRPr="006F089B" w:rsidRDefault="007F2477"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 xml:space="preserve">Again, although Mrs. Wrights would wait for her husband every day to come and help on the farm, he was nowhere to be seen an aspect that made her fear. Now and then Mrs. Wright hoped for her husband company when he returned, but with no luck, he was nowhere as there was “no company when he did come in” (Glaspell, 780). Also, the same way Mrs. Wright feared </w:t>
      </w:r>
      <w:r w:rsidRPr="006F089B">
        <w:rPr>
          <w:rFonts w:ascii="Times New Roman" w:hAnsi="Times New Roman" w:cs="Times New Roman"/>
          <w:sz w:val="24"/>
          <w:szCs w:val="24"/>
        </w:rPr>
        <w:lastRenderedPageBreak/>
        <w:t>of the fire would go out and break her jars; it was the same way fire had gone out of their marriage and eventually she would brea</w:t>
      </w:r>
      <w:r>
        <w:rPr>
          <w:rFonts w:ascii="Times New Roman" w:hAnsi="Times New Roman" w:cs="Times New Roman"/>
          <w:sz w:val="24"/>
          <w:szCs w:val="24"/>
        </w:rPr>
        <w:t>k from her “frozen” lonely life.</w:t>
      </w:r>
    </w:p>
    <w:p w14:paraId="320322AF" w14:textId="77777777" w:rsidR="008A4A6C" w:rsidRPr="006F089B" w:rsidRDefault="007F2477"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In the play, the loneliness of the hollow is evident from the neighbor’s attitudes. Mrs. Wright also suffers from the isolation from her neighbors despite the fact that her husband was not there for her. This loneliness is demonstrated by Mrs. Wright’s comments that “we live close together and we live far apart” (Glaspell, 782). One of the neighbors known as Mrs. Hale lived close enough to pay a visit to Mrs. Wright, but she never did that. Instead, she always separated herself from Mrs. Wright. The separation between the two is evident when Mrs. Hale says that “I might have known she needed help! I could’ve come” (Glaspell, 782). The setting also proves the reason why the two women never visited each other despite the fact that they were in need of each other. The answer is given by Mrs. Hale when she says that “because it is down in a hollow and you don’t see the road” (Glaspell, 780). At this juncture, it is evident that the setting (place) of the play has a lot of significance. Further, Mrs. Hale justifies that the place is lonesome and isolated where she comments that ‘it’s a lonesome place and always was” (Glaspell, 780).</w:t>
      </w:r>
    </w:p>
    <w:p w14:paraId="46763C60" w14:textId="77777777" w:rsidR="008A4A6C" w:rsidRPr="006F089B" w:rsidRDefault="007F2477"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Again, the environment is cold and freezing an aspect that makes it devoid; this illustrates the same way Mrs. Wrights is. Back in the days 30 years ago, Mrs. Wright used to wear pretty clothes described as "white dress with blue ribbons” (Glaspell, 782). However, now during the winter, she is described as a “shabby” woman who does not even sing to her husband like there before. Such a bleak winter environment gives us a good reason why Mrs. Wright never wore pretty clothes and the reason behind her loneliness.</w:t>
      </w:r>
    </w:p>
    <w:p w14:paraId="2C40E349" w14:textId="77777777" w:rsidR="00F268D7" w:rsidRDefault="007F2477"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 xml:space="preserve">The barren and cold setting is also used by Glaspell to illustrate or refer to the barrenness of the womb that Mrs. Wright had. From reading the play, it is easily noticeable that Mrs. Wrights has no children an aspect that makes her lonely in the “quiet house” (Glaspell, 780). </w:t>
      </w:r>
      <w:r w:rsidRPr="006F089B">
        <w:rPr>
          <w:rFonts w:ascii="Times New Roman" w:hAnsi="Times New Roman" w:cs="Times New Roman"/>
          <w:sz w:val="24"/>
          <w:szCs w:val="24"/>
        </w:rPr>
        <w:lastRenderedPageBreak/>
        <w:t>Also, a question comes in as the reason as to why there were no children justified by Mr. Wright comment that "folks talked too much” (Glaspell, 773). “All he asked was peace and quiet, ““yet you know how much he talked himself” (Glaspell, 773). Mr. Hale also commented that Mrs. Wright needed something to end her empty human companionship "I should think she would want a bird" (Glaspell, 780). In this case, the bird represented a child.</w:t>
      </w:r>
    </w:p>
    <w:p w14:paraId="4A37A95E" w14:textId="010DEC9C" w:rsidR="00501300" w:rsidRPr="00501300" w:rsidRDefault="007F2477" w:rsidP="005D1095">
      <w:pPr>
        <w:spacing w:line="480" w:lineRule="auto"/>
        <w:jc w:val="center"/>
        <w:rPr>
          <w:rFonts w:ascii="Times New Roman" w:hAnsi="Times New Roman" w:cs="Times New Roman"/>
          <w:b/>
          <w:sz w:val="24"/>
          <w:szCs w:val="24"/>
        </w:rPr>
      </w:pPr>
      <w:r w:rsidRPr="00501300">
        <w:rPr>
          <w:rFonts w:ascii="Times New Roman" w:hAnsi="Times New Roman" w:cs="Times New Roman"/>
          <w:b/>
          <w:sz w:val="24"/>
          <w:szCs w:val="24"/>
        </w:rPr>
        <w:t xml:space="preserve">What the Setting Brings </w:t>
      </w:r>
      <w:r>
        <w:rPr>
          <w:rFonts w:ascii="Times New Roman" w:hAnsi="Times New Roman" w:cs="Times New Roman"/>
          <w:b/>
          <w:sz w:val="24"/>
          <w:szCs w:val="24"/>
        </w:rPr>
        <w:t>t</w:t>
      </w:r>
      <w:r w:rsidRPr="00501300">
        <w:rPr>
          <w:rFonts w:ascii="Times New Roman" w:hAnsi="Times New Roman" w:cs="Times New Roman"/>
          <w:b/>
          <w:sz w:val="24"/>
          <w:szCs w:val="24"/>
        </w:rPr>
        <w:t>o the Play</w:t>
      </w:r>
    </w:p>
    <w:p w14:paraId="54695942" w14:textId="77777777" w:rsidR="00DF76A2" w:rsidRDefault="007F2477"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 xml:space="preserve">The setting (place) bring in to the play the existing value of attitudes directed towards some genders. In short, the setting tends to accentuate the value system of the current views in the play. The kitchen is the main stage in the play; used as the primary domestic domain where women and children spend most of their time. The women gender role in the kitchen is elaborated by the poet having known two women namely Mrs. Hale and Mrs. Peters who remain in the kitchen throughout the entire play. According to the Glaspell point of view, the kitchen comes out to be a cage for Mrs. Wright where she is trapped and controlled by her husband and this makes her isolated with the rest of the world. This scenario brings about and is demonstrated by the canary in its cave. </w:t>
      </w:r>
    </w:p>
    <w:p w14:paraId="13776660" w14:textId="77777777" w:rsidR="00DF76A2" w:rsidRDefault="007F2477"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t>The setting of the play through elaborating on the kitchen characteristic tends to give deeper meaning to the play which brings solutions to the murder mystery which is “gloomy” (Glaspell, 772). The kitchen described as being untidy without any order which brings in signs of incomplete work. The dirty kitchen shown by the “unwashed pans under the sink, a loaf of bread outside the breadbox, a dish-towel on the table" (Glaspell, 772).</w:t>
      </w:r>
    </w:p>
    <w:p w14:paraId="4C94AD1A" w14:textId="5124772F" w:rsidR="00501300" w:rsidRPr="00501300" w:rsidRDefault="007F2477" w:rsidP="005D1095">
      <w:pPr>
        <w:spacing w:line="480" w:lineRule="auto"/>
        <w:jc w:val="center"/>
        <w:rPr>
          <w:rFonts w:ascii="Times New Roman" w:hAnsi="Times New Roman" w:cs="Times New Roman"/>
          <w:b/>
          <w:sz w:val="24"/>
          <w:szCs w:val="24"/>
        </w:rPr>
      </w:pPr>
      <w:r w:rsidRPr="00501300">
        <w:rPr>
          <w:rFonts w:ascii="Times New Roman" w:hAnsi="Times New Roman" w:cs="Times New Roman"/>
          <w:b/>
          <w:sz w:val="24"/>
          <w:szCs w:val="24"/>
        </w:rPr>
        <w:t>How the Setting Enhance</w:t>
      </w:r>
      <w:r>
        <w:rPr>
          <w:rFonts w:ascii="Times New Roman" w:hAnsi="Times New Roman" w:cs="Times New Roman"/>
          <w:b/>
          <w:sz w:val="24"/>
          <w:szCs w:val="24"/>
        </w:rPr>
        <w:t>s</w:t>
      </w:r>
      <w:r w:rsidRPr="00501300">
        <w:rPr>
          <w:rFonts w:ascii="Times New Roman" w:hAnsi="Times New Roman" w:cs="Times New Roman"/>
          <w:b/>
          <w:sz w:val="24"/>
          <w:szCs w:val="24"/>
        </w:rPr>
        <w:t xml:space="preserve"> </w:t>
      </w:r>
      <w:r>
        <w:rPr>
          <w:rFonts w:ascii="Times New Roman" w:hAnsi="Times New Roman" w:cs="Times New Roman"/>
          <w:b/>
          <w:sz w:val="24"/>
          <w:szCs w:val="24"/>
        </w:rPr>
        <w:t>m</w:t>
      </w:r>
      <w:r w:rsidRPr="00501300">
        <w:rPr>
          <w:rFonts w:ascii="Times New Roman" w:hAnsi="Times New Roman" w:cs="Times New Roman"/>
          <w:b/>
          <w:sz w:val="24"/>
          <w:szCs w:val="24"/>
        </w:rPr>
        <w:t>y Reading of the Play</w:t>
      </w:r>
    </w:p>
    <w:p w14:paraId="0329CFCA" w14:textId="27221B3D" w:rsidR="00501300" w:rsidRPr="008231A8" w:rsidRDefault="007F2477" w:rsidP="005D1095">
      <w:pPr>
        <w:spacing w:line="480" w:lineRule="auto"/>
        <w:ind w:firstLine="720"/>
        <w:rPr>
          <w:rFonts w:ascii="Times New Roman" w:hAnsi="Times New Roman" w:cs="Times New Roman"/>
          <w:sz w:val="24"/>
          <w:szCs w:val="24"/>
        </w:rPr>
      </w:pPr>
      <w:r w:rsidRPr="006F089B">
        <w:rPr>
          <w:rFonts w:ascii="Times New Roman" w:hAnsi="Times New Roman" w:cs="Times New Roman"/>
          <w:sz w:val="24"/>
          <w:szCs w:val="24"/>
        </w:rPr>
        <w:lastRenderedPageBreak/>
        <w:t>Through giving despicable characteristics of the play set in the kitchen which is the main stage, it enhances my reading of the play by being able to establish the ideals and values of the characters. Consequently, as the play progress, I'm ready to identify more specific elements that help me to familiarize with the unique attitudes of the characters. All this aspect helps me to get the deeper meaning of the play and not only the surface meaning. Also, can realize that the time and seasons tend to affect the values of the characters while the stage set being the kitchen helps me to unravel the mystery of the murder. All such elements of the setting help me to have the intended outcome and meaning of the play.</w:t>
      </w:r>
    </w:p>
    <w:p w14:paraId="76151F31" w14:textId="77777777" w:rsidR="00501300" w:rsidRPr="00501300" w:rsidRDefault="007F2477" w:rsidP="005D1095">
      <w:pPr>
        <w:spacing w:line="480" w:lineRule="auto"/>
        <w:jc w:val="center"/>
        <w:rPr>
          <w:rFonts w:ascii="Times New Roman" w:hAnsi="Times New Roman" w:cs="Times New Roman"/>
          <w:b/>
          <w:sz w:val="24"/>
          <w:szCs w:val="24"/>
        </w:rPr>
      </w:pPr>
      <w:r w:rsidRPr="00501300">
        <w:rPr>
          <w:rFonts w:ascii="Times New Roman" w:hAnsi="Times New Roman" w:cs="Times New Roman"/>
          <w:b/>
          <w:sz w:val="24"/>
          <w:szCs w:val="24"/>
        </w:rPr>
        <w:t>Conclusion</w:t>
      </w:r>
    </w:p>
    <w:p w14:paraId="235A9E74" w14:textId="77777777" w:rsidR="00501300" w:rsidRDefault="007F2477" w:rsidP="005D109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setting of the play is so significant as it enables the reader to get the deep meaning of the play and the role of the characters. Furthermore, the setting brings out the attitudes of the characters towards a specific gender where the reader can comprehend the inner meaning of the issue being discussed and for our case which is the mysterious murder. Consequently, the setting plays a crucial role as it enables the reader to familiarize with the ideas and attitudes of the characters in the play. </w:t>
      </w:r>
    </w:p>
    <w:p w14:paraId="3FD1CB8A" w14:textId="77777777" w:rsidR="00957C1A" w:rsidRDefault="007F2477" w:rsidP="005D109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E7A3F07" w14:textId="77777777" w:rsidR="00957C1A" w:rsidRDefault="007F2477" w:rsidP="005D10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62D0DDD6" w14:textId="22EC84D1" w:rsidR="00957C1A" w:rsidRPr="006F089B" w:rsidRDefault="007F2477" w:rsidP="005D1095">
      <w:pPr>
        <w:spacing w:line="480" w:lineRule="auto"/>
        <w:rPr>
          <w:rFonts w:ascii="Times New Roman" w:hAnsi="Times New Roman" w:cs="Times New Roman"/>
          <w:sz w:val="24"/>
          <w:szCs w:val="24"/>
        </w:rPr>
      </w:pPr>
      <w:r>
        <w:rPr>
          <w:rFonts w:ascii="Times New Roman" w:hAnsi="Times New Roman" w:cs="Times New Roman"/>
          <w:sz w:val="24"/>
          <w:szCs w:val="24"/>
        </w:rPr>
        <w:t>Glaspell, Susan. “Trifles, 1876-1948”. 771-787.</w:t>
      </w:r>
    </w:p>
    <w:sectPr w:rsidR="00957C1A" w:rsidRPr="006F08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D75CB" w14:textId="77777777" w:rsidR="007150AD" w:rsidRDefault="007150AD">
      <w:pPr>
        <w:spacing w:after="0" w:line="240" w:lineRule="auto"/>
      </w:pPr>
      <w:r>
        <w:separator/>
      </w:r>
    </w:p>
  </w:endnote>
  <w:endnote w:type="continuationSeparator" w:id="0">
    <w:p w14:paraId="66E26F0A" w14:textId="77777777" w:rsidR="007150AD" w:rsidRDefault="00715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4563A" w14:textId="77777777" w:rsidR="007150AD" w:rsidRDefault="007150AD">
      <w:pPr>
        <w:spacing w:after="0" w:line="240" w:lineRule="auto"/>
      </w:pPr>
      <w:r>
        <w:separator/>
      </w:r>
    </w:p>
  </w:footnote>
  <w:footnote w:type="continuationSeparator" w:id="0">
    <w:p w14:paraId="034EB522" w14:textId="77777777" w:rsidR="007150AD" w:rsidRDefault="007150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C7507" w14:textId="77777777" w:rsidR="006F089B" w:rsidRPr="006F089B" w:rsidRDefault="007F2477">
    <w:pPr>
      <w:pStyle w:val="Header"/>
      <w:jc w:val="right"/>
      <w:rPr>
        <w:rFonts w:ascii="Times New Roman" w:hAnsi="Times New Roman" w:cs="Times New Roman"/>
        <w:sz w:val="24"/>
        <w:szCs w:val="24"/>
      </w:rPr>
    </w:pPr>
    <w:r w:rsidRPr="006F089B">
      <w:rPr>
        <w:rFonts w:ascii="Times New Roman" w:hAnsi="Times New Roman" w:cs="Times New Roman"/>
        <w:sz w:val="24"/>
        <w:szCs w:val="24"/>
      </w:rPr>
      <w:t xml:space="preserve">Surname </w:t>
    </w:r>
    <w:sdt>
      <w:sdtPr>
        <w:rPr>
          <w:rFonts w:ascii="Times New Roman" w:hAnsi="Times New Roman" w:cs="Times New Roman"/>
          <w:sz w:val="24"/>
          <w:szCs w:val="24"/>
        </w:rPr>
        <w:id w:val="-399284301"/>
        <w:docPartObj>
          <w:docPartGallery w:val="Page Numbers (Top of Page)"/>
          <w:docPartUnique/>
        </w:docPartObj>
      </w:sdtPr>
      <w:sdtEndPr>
        <w:rPr>
          <w:noProof/>
        </w:rPr>
      </w:sdtEndPr>
      <w:sdtContent>
        <w:r w:rsidRPr="006F089B">
          <w:rPr>
            <w:rFonts w:ascii="Times New Roman" w:hAnsi="Times New Roman" w:cs="Times New Roman"/>
            <w:sz w:val="24"/>
            <w:szCs w:val="24"/>
          </w:rPr>
          <w:fldChar w:fldCharType="begin"/>
        </w:r>
        <w:r w:rsidRPr="006F089B">
          <w:rPr>
            <w:rFonts w:ascii="Times New Roman" w:hAnsi="Times New Roman" w:cs="Times New Roman"/>
            <w:sz w:val="24"/>
            <w:szCs w:val="24"/>
          </w:rPr>
          <w:instrText xml:space="preserve"> PAGE   \* MERGEFORMAT </w:instrText>
        </w:r>
        <w:r w:rsidRPr="006F089B">
          <w:rPr>
            <w:rFonts w:ascii="Times New Roman" w:hAnsi="Times New Roman" w:cs="Times New Roman"/>
            <w:sz w:val="24"/>
            <w:szCs w:val="24"/>
          </w:rPr>
          <w:fldChar w:fldCharType="separate"/>
        </w:r>
        <w:r w:rsidR="006A2060">
          <w:rPr>
            <w:rFonts w:ascii="Times New Roman" w:hAnsi="Times New Roman" w:cs="Times New Roman"/>
            <w:noProof/>
            <w:sz w:val="24"/>
            <w:szCs w:val="24"/>
          </w:rPr>
          <w:t>3</w:t>
        </w:r>
        <w:r w:rsidRPr="006F089B">
          <w:rPr>
            <w:rFonts w:ascii="Times New Roman" w:hAnsi="Times New Roman" w:cs="Times New Roman"/>
            <w:noProof/>
            <w:sz w:val="24"/>
            <w:szCs w:val="24"/>
          </w:rPr>
          <w:fldChar w:fldCharType="end"/>
        </w:r>
      </w:sdtContent>
    </w:sdt>
  </w:p>
  <w:p w14:paraId="29E24F1B" w14:textId="77777777" w:rsidR="006F089B" w:rsidRPr="006F089B" w:rsidRDefault="006F089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U0NDa3sDQzszQ0tDBT0lEKTi0uzszPAykwqQUAEqVxaywAAAA="/>
  </w:docVars>
  <w:rsids>
    <w:rsidRoot w:val="00E47CEA"/>
    <w:rsid w:val="00005108"/>
    <w:rsid w:val="000D7C31"/>
    <w:rsid w:val="00191562"/>
    <w:rsid w:val="003407F9"/>
    <w:rsid w:val="003423F9"/>
    <w:rsid w:val="003C393D"/>
    <w:rsid w:val="004F2668"/>
    <w:rsid w:val="00501300"/>
    <w:rsid w:val="00502965"/>
    <w:rsid w:val="0058772D"/>
    <w:rsid w:val="005D1095"/>
    <w:rsid w:val="006A2060"/>
    <w:rsid w:val="006A3B62"/>
    <w:rsid w:val="006F089B"/>
    <w:rsid w:val="007150AD"/>
    <w:rsid w:val="007F2477"/>
    <w:rsid w:val="008231A8"/>
    <w:rsid w:val="00894ADF"/>
    <w:rsid w:val="0089677F"/>
    <w:rsid w:val="008A4A6C"/>
    <w:rsid w:val="00952252"/>
    <w:rsid w:val="009551F8"/>
    <w:rsid w:val="00957C1A"/>
    <w:rsid w:val="00987A4F"/>
    <w:rsid w:val="00A4733A"/>
    <w:rsid w:val="00BC7D4D"/>
    <w:rsid w:val="00DF76A2"/>
    <w:rsid w:val="00E00F30"/>
    <w:rsid w:val="00E24171"/>
    <w:rsid w:val="00E47CEA"/>
    <w:rsid w:val="00F268D7"/>
    <w:rsid w:val="00F85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5BAA1"/>
  <w15:chartTrackingRefBased/>
  <w15:docId w15:val="{A6EF932F-347A-4F7F-AE13-9A706D106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0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DBA"/>
  </w:style>
  <w:style w:type="paragraph" w:styleId="Footer">
    <w:name w:val="footer"/>
    <w:basedOn w:val="Normal"/>
    <w:link w:val="FooterChar"/>
    <w:uiPriority w:val="99"/>
    <w:unhideWhenUsed/>
    <w:rsid w:val="009C0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DB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407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7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6</Pages>
  <Words>1267</Words>
  <Characters>7225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27</cp:revision>
  <dcterms:created xsi:type="dcterms:W3CDTF">2018-03-19T06:16:00Z</dcterms:created>
  <dcterms:modified xsi:type="dcterms:W3CDTF">2018-03-22T19:32:00Z</dcterms:modified>
</cp:coreProperties>
</file>